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0"/>
        </w:rPr>
      </w:r>
    </w:p>
    <w:p>
      <w:pPr>
        <w:pStyle w:val="2"/>
        <w:jc w:val="center"/>
      </w:pPr>
      <w:r>
        <w:rPr>
          <w:sz w:val="20"/>
        </w:rPr>
        <w:t xml:space="preserve">ФЕДЕРАЛЬНОЕ АВТОНОМНОЕ УЧРЕЖДЕНИЕ</w:t>
      </w:r>
    </w:p>
    <w:p>
      <w:pPr>
        <w:pStyle w:val="2"/>
        <w:jc w:val="center"/>
      </w:pPr>
      <w:r>
        <w:rPr>
          <w:sz w:val="20"/>
        </w:rPr>
        <w:t xml:space="preserve">"ГЛАВНОЕ УПРАВЛЕНИЕ ГОСУДАРСТВЕННОЙ ЭКСПЕРТИЗЫ"</w:t>
      </w:r>
    </w:p>
    <w:p>
      <w:pPr>
        <w:pStyle w:val="2"/>
        <w:jc w:val="center"/>
      </w:pPr>
      <w:r>
        <w:rPr>
          <w:sz w:val="20"/>
        </w:rPr>
      </w:r>
    </w:p>
    <w:p>
      <w:pPr>
        <w:pStyle w:val="2"/>
        <w:jc w:val="center"/>
      </w:pPr>
      <w:r>
        <w:rPr>
          <w:sz w:val="20"/>
        </w:rPr>
        <w:t xml:space="preserve">ИНФОРМАЦИЯ</w:t>
      </w:r>
    </w:p>
    <w:p>
      <w:pPr>
        <w:pStyle w:val="0"/>
        <w:jc w:val="center"/>
      </w:pPr>
      <w:r>
        <w:rPr>
          <w:sz w:val="20"/>
        </w:rPr>
      </w:r>
    </w:p>
    <w:p>
      <w:pPr>
        <w:pStyle w:val="0"/>
        <w:ind w:firstLine="540"/>
        <w:jc w:val="both"/>
      </w:pPr>
      <w:r>
        <w:rPr>
          <w:sz w:val="20"/>
        </w:rPr>
        <w:t xml:space="preserve">Напоминаем, что с 1 сентября 2024 года в случае, если от имени юридического лица, физического лица или индивидуального предпринимателя действует его представитель (физическое лицо, индивидуальный предприниматель или иное юридическое лицо), уполномоченный действовать от имени юридического лица на основании доверенности, выданной юридическим лицом в соответствии с гражданским законодательством Российской Федерации, электронный документ подписывается квалифицированной электронной подписью такого представителя юридического лица. Одновременно от имени юридического лица представляется электронная доверенность в машиночитаемом </w:t>
      </w:r>
      <w:r>
        <w:rPr>
          <w:sz w:val="20"/>
        </w:rPr>
        <w:t xml:space="preserve">формате</w:t>
      </w:r>
      <w:r>
        <w:rPr>
          <w:sz w:val="20"/>
        </w:rPr>
        <w:t xml:space="preserve"> (далее - МЧД).</w:t>
      </w:r>
    </w:p>
    <w:p>
      <w:pPr>
        <w:pStyle w:val="0"/>
        <w:spacing w:before="200" w:line-rule="auto"/>
        <w:ind w:firstLine="540"/>
        <w:jc w:val="both"/>
      </w:pPr>
      <w:r>
        <w:rPr>
          <w:sz w:val="20"/>
        </w:rPr>
        <w:t xml:space="preserve">Предоставление бумажной доверенности при взаимодействии посредством информационного обмена не требуется.</w:t>
      </w:r>
    </w:p>
    <w:p>
      <w:pPr>
        <w:pStyle w:val="0"/>
        <w:spacing w:before="200" w:line-rule="auto"/>
        <w:ind w:firstLine="540"/>
        <w:jc w:val="both"/>
      </w:pPr>
      <w:r>
        <w:rPr>
          <w:sz w:val="20"/>
        </w:rPr>
        <w:t xml:space="preserve">Правила использования квалифицированной электронной подписи при участии в правоотношениях юридических лиц, физических лиц, индивидуальных предпринимателей, лиц,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организаций, а также нотариусов вступили в действие в соответствии с поправками в Федеральный </w:t>
      </w:r>
      <w:hyperlink w:history="0" r:id="rId6"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закон</w:t>
        </w:r>
      </w:hyperlink>
      <w:r>
        <w:rPr>
          <w:sz w:val="20"/>
        </w:rPr>
        <w:t xml:space="preserve"> от 6 апреля 2011 года N 63-ФЗ "Об электронной подписи".</w:t>
      </w:r>
    </w:p>
    <w:p>
      <w:pPr>
        <w:pStyle w:val="0"/>
        <w:spacing w:before="200" w:line-rule="auto"/>
        <w:ind w:firstLine="540"/>
        <w:jc w:val="both"/>
      </w:pPr>
      <w:r>
        <w:rPr>
          <w:sz w:val="20"/>
        </w:rPr>
        <w:t xml:space="preserve">Если в комплекте представленных документов для оказания услуг, предусмотренных Уставом Учреждения будет отсутствовать МЧД, то это станет основанием для отказа в принятии их на экспертизу.</w:t>
      </w:r>
    </w:p>
    <w:p>
      <w:pPr>
        <w:pStyle w:val="0"/>
        <w:spacing w:before="200" w:line-rule="auto"/>
        <w:ind w:firstLine="540"/>
        <w:jc w:val="both"/>
      </w:pPr>
      <w:r>
        <w:rPr>
          <w:sz w:val="20"/>
        </w:rPr>
        <w:t xml:space="preserve">Кроме того, обращаем внимание, что сами документы, которые представляются в Учреждение должны быть подписаны с помощью УКЭП с приложением МЧД (при необходимости).</w:t>
      </w:r>
    </w:p>
    <w:p>
      <w:pPr>
        <w:pStyle w:val="0"/>
        <w:spacing w:before="200" w:line-rule="auto"/>
        <w:ind w:firstLine="540"/>
        <w:jc w:val="both"/>
      </w:pPr>
      <w:r>
        <w:rPr>
          <w:sz w:val="20"/>
        </w:rPr>
        <w:t xml:space="preserve">Такие требования действуют, в том числе, при представлении для </w:t>
      </w:r>
      <w:hyperlink w:history="0" r:id="rId7" w:tooltip="Постановление Правительства РФ от 05.03.2007 N 145 (ред. от 30.05.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проведения</w:t>
        </w:r>
      </w:hyperlink>
      <w:r>
        <w:rPr>
          <w:sz w:val="20"/>
        </w:rPr>
        <w:t xml:space="preserve"> государственной экспертизы или иных экспертных </w:t>
      </w:r>
      <w:hyperlink w:history="0" r:id="rId8" w:tooltip="&quot;Условия оказания ФАУ &quot;Главгосэкспертиза России&quot; услуг по проведению государственной экспертизы проектной документации и (или) результатов инженерных изысканий (редакция N 3)&quot; (утв. ФАУ &quot;Главгосэкспертиза России&quot;) {КонсультантПлюс}">
        <w:r>
          <w:rPr>
            <w:sz w:val="20"/>
            <w:color w:val="0000ff"/>
          </w:rPr>
          <w:t xml:space="preserve">услуг</w:t>
        </w:r>
      </w:hyperlink>
      <w:r>
        <w:rPr>
          <w:sz w:val="20"/>
        </w:rPr>
        <w:t xml:space="preserve"> любых документов, которые подписаны представителями:</w:t>
      </w:r>
    </w:p>
    <w:p>
      <w:pPr>
        <w:pStyle w:val="0"/>
        <w:spacing w:before="200" w:line-rule="auto"/>
        <w:ind w:firstLine="540"/>
        <w:jc w:val="both"/>
      </w:pPr>
      <w:r>
        <w:rPr>
          <w:sz w:val="20"/>
        </w:rPr>
        <w:t xml:space="preserve">- техзаказчика;</w:t>
      </w:r>
    </w:p>
    <w:p>
      <w:pPr>
        <w:pStyle w:val="0"/>
        <w:spacing w:before="200" w:line-rule="auto"/>
        <w:ind w:firstLine="540"/>
        <w:jc w:val="both"/>
      </w:pPr>
      <w:r>
        <w:rPr>
          <w:sz w:val="20"/>
        </w:rPr>
        <w:t xml:space="preserve">- застройщика;</w:t>
      </w:r>
    </w:p>
    <w:p>
      <w:pPr>
        <w:pStyle w:val="0"/>
        <w:spacing w:before="200" w:line-rule="auto"/>
        <w:ind w:firstLine="540"/>
        <w:jc w:val="both"/>
      </w:pPr>
      <w:r>
        <w:rPr>
          <w:sz w:val="20"/>
        </w:rPr>
        <w:t xml:space="preserve">- лица, выполняющего РИИ или подготовку ПД по доверенности.</w:t>
      </w:r>
    </w:p>
    <w:p>
      <w:pPr>
        <w:pStyle w:val="0"/>
        <w:spacing w:before="200" w:line-rule="auto"/>
        <w:ind w:firstLine="540"/>
        <w:jc w:val="both"/>
      </w:pPr>
      <w:r>
        <w:rPr>
          <w:sz w:val="20"/>
        </w:rPr>
        <w:t xml:space="preserve">Если пакет документации в рамках проекта был подан на экспертизу до 1 сентября 2024 года, а после этой даты возникла необходимость в подписании дополнительных документов, то в этом случае также требуется МЧД в целях продолжения ранее возникших правоотношений.</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&lt;Информация&gt; ФАУ "Главгосэкспертиза России"</w:t>
            <w:br/>
            <w:t>&lt;С 1 сентября при подаче документов на экспертизу можно использовать только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20.12.2024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&lt;Информация&gt; ФАУ "Главгосэкспертиза России" &lt;С 1 сентября при подаче документов на экспертизу можно использовать только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https://login.consultant.ru/link/?req=doc&amp;base=LAW&amp;n=468472&amp;dst=262" TargetMode = "External"/>
	<Relationship Id="rId7" Type="http://schemas.openxmlformats.org/officeDocument/2006/relationships/hyperlink" Target="https://login.consultant.ru/link/?req=doc&amp;base=LAW&amp;n=477912" TargetMode = "External"/>
	<Relationship Id="rId8" Type="http://schemas.openxmlformats.org/officeDocument/2006/relationships/hyperlink" Target="https://login.consultant.ru/link/?req=doc&amp;base=LAW&amp;n=456414&amp;dst=10000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&lt;Информация&gt; ФАУ "Главгосэкспертиза России"
&lt;С 1 сентября при подаче документов на экспертизу можно использовать только машиночитаемую доверенность&gt;</dc:title>
  <dcterms:created xsi:type="dcterms:W3CDTF">2024-12-20T12:14:43Z</dcterms:created>
</cp:coreProperties>
</file>